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553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VYHLÁŠKA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dne 26. října 2004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podmínkách, vzoru a bližších pokynech vypracování plánu mysliveckého hospodaření v honitbě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zemědělství stanoví podle § 36 odst. 6 zákona č. 449/2001 Sb., o myslivosti, ve znění zákona č. 59/2003 Sb., (dále jen "zákon"):</w:t>
      </w:r>
    </w:p>
    <w:p w:rsidR="00103B35" w:rsidRPr="00103B35" w:rsidRDefault="005A4E9B" w:rsidP="00103B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norma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noshade="t" o:hr="t" fillcolor="#e0e0e0" stroked="f"/>
        </w:pict>
      </w:r>
    </w:p>
    <w:p w:rsidR="00103B35" w:rsidRPr="00103B35" w:rsidRDefault="00103B35" w:rsidP="00103B35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103B35">
        <w:rPr>
          <w:rFonts w:ascii="Arial" w:eastAsia="Times New Roman" w:hAnsi="Arial" w:cs="Arial"/>
          <w:b/>
          <w:bCs/>
          <w:color w:val="08A8F8"/>
          <w:lang w:eastAsia="cs-CZ"/>
        </w:rPr>
        <w:t>Podmínky pro vypracování plánu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2" w:name="p1"/>
      <w:bookmarkEnd w:id="2"/>
      <w:r w:rsidRPr="00103B3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1</w:t>
      </w:r>
    </w:p>
    <w:p w:rsidR="00103B35" w:rsidRPr="00103B35" w:rsidRDefault="00103B35" w:rsidP="00103B35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103B35">
        <w:rPr>
          <w:rFonts w:ascii="Arial" w:eastAsia="Times New Roman" w:hAnsi="Arial" w:cs="Arial"/>
          <w:b/>
          <w:bCs/>
          <w:color w:val="08A8F8"/>
          <w:lang w:eastAsia="cs-CZ"/>
        </w:rPr>
        <w:t>Plán mysliveckého hospodaření v honitbě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" w:name="p1-1"/>
      <w:bookmarkEnd w:id="3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mysliveckého hospodaření v honitbě (dále jen "plán") je písemně vypracovaný záměr uživatele honitby, jak bude od 1. dubna do 31. března roku následujícího (dále jen "hospodářský rok") v honitbě myslivecky hospodařit. Plán obsahuje cíle uživatele honitby zajišťující ochranu zvěře, cílevědomý chov a lov zvěře, včetně vývojových stádií zvěře.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" w:name="p1-2"/>
      <w:bookmarkEnd w:id="4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podle povahy honitby se může skládat z těchto částí: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" w:name="p1-2-a"/>
      <w:bookmarkEnd w:id="5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chovu a lovu pro zvěř spárkatou (vzor tiskopisu je uveden v příloze č. 1),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6" w:name="p1-2-b"/>
      <w:bookmarkEnd w:id="6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chovu a lovu pro zvěř drobnou (vzor tiskopisu je uveden v příloze č. 2),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7" w:name="p1-2-c"/>
      <w:bookmarkEnd w:id="7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lovu ostatních druhů zvěře (vzor tiskopisu je uveden v příloze č. 3),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8" w:name="p1-2-d"/>
      <w:bookmarkEnd w:id="8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péče o zvěř (vzor tiskopisu je uveden v příloze č. 4),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9" w:name="p1-2-e"/>
      <w:bookmarkEnd w:id="9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společných lovů zvěře (vzor tiskopisu je uveden v příloze č. 5) a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0" w:name="p1-2-f"/>
      <w:bookmarkEnd w:id="10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počtu loveckých psů (vzor tiskopisu je uveden v příloze č. 6).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1" w:name="p1-3"/>
      <w:bookmarkEnd w:id="11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Přílohou plánu podle povahy honitby jsou zejména: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2" w:name="p1-3-a"/>
      <w:bookmarkEnd w:id="12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výsledky sčítání zvěře (vzor tiskopisu je uveden v příloze č. 7),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3" w:name="p1-3-b"/>
      <w:bookmarkEnd w:id="13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měsíční hlášení o plnění plánu (§ 36 odst. 4 </w:t>
      </w:r>
      <w:proofErr w:type="gram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zákona) (vzor</w:t>
      </w:r>
      <w:proofErr w:type="gram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tiskopisu je uveden v příloze č. 8),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4" w:name="p1-3-c"/>
      <w:bookmarkEnd w:id="14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evidence výše škod způsobená zvěří v předchozím období na lesních a zemědělských porostech,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5" w:name="p1-3-d"/>
      <w:bookmarkEnd w:id="15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výsledky porovnání kontrolních a srovnávacích ploch,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6" w:name="p1-3-e"/>
      <w:bookmarkEnd w:id="16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porovnání vypracovaného plánu se záměry uvedenými v návrhu na uznání honitby a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7" w:name="p1-3-f"/>
      <w:bookmarkEnd w:id="17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závěry a doporučení pro hospodaření se zvěří v oblasti chovu vypracované orgánem státní správy myslivosti, který vymezil příslušnou oblast chovu zvěře (§ 36 odst. 2 zákona),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doložené příslušnými doklady.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8" w:name="p1-4"/>
      <w:bookmarkEnd w:id="18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(4)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Uživatel honitby poznamená v plánu, pokud mu držitel honitby ve lhůtě alespoň 15 dnů před termínem pro zpracování příslušné části plánu nesdělí výsledky porovnání kontrolních a srovnávacích ploch, neoznámí škody způsobené zvěří na lesních a zemědělských porostech za uplynulý rok a nesdělí záměr uvedený v návrhu na uznání honitby. Uživatel honitby rovněž v plánu poznamená, pokud mu orgán státní správy myslivosti, který vymezil příslušnou oblast chovu, v případě honitby, která byla zařazena do této oblasti, nesdělí závěry a doporučení.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19" w:name="p1-5"/>
      <w:bookmarkEnd w:id="19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(5)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 účely této vyhlášky se rozumí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0" w:name="p1-5-a"/>
      <w:bookmarkEnd w:id="20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spárkatou zvěří – jelen evropský, daněk skvrnitý, muflon, srnec obecný, kamzík horský, jelenec běloocasý, sika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Dybowského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sika japonský, prase divoké,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1" w:name="p1-5-b"/>
      <w:bookmarkEnd w:id="21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drobnou zvěří – zajíc polní, bažant obecný, bažant královský, kachna divoká z voliérového chovu, krocan divoký,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2" w:name="p1-5-c"/>
      <w:bookmarkEnd w:id="22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vzácnými a ohroženými druhy zvěře – koroptev polní, jeřábek lesní, tetřev hlušec, tetřívek obecný,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3" w:name="p1-5-d"/>
      <w:bookmarkEnd w:id="23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ostatními druhy zvěře – králík divoký, holub hřivnáč, husa běločelá, husa polní, husa velká, kachna divoká, pokud nepochází z voliérového chovu, lyska černá,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chocholačka,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velký.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24" w:name="p2"/>
      <w:bookmarkEnd w:id="24"/>
      <w:r w:rsidRPr="00103B3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2</w:t>
      </w:r>
    </w:p>
    <w:p w:rsidR="00103B35" w:rsidRPr="00103B35" w:rsidRDefault="00103B35" w:rsidP="00103B35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103B35">
        <w:rPr>
          <w:rFonts w:ascii="Arial" w:eastAsia="Times New Roman" w:hAnsi="Arial" w:cs="Arial"/>
          <w:b/>
          <w:bCs/>
          <w:color w:val="08A8F8"/>
          <w:lang w:eastAsia="cs-CZ"/>
        </w:rPr>
        <w:t>Druhy zvěře a termíny pro vypracování plánu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5" w:name="p2-1"/>
      <w:bookmarkEnd w:id="25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každoročně vypracovává uživatel honitby v souladu se zvláštními právními předpisy</w:t>
      </w:r>
      <w:hyperlink r:id="rId5" w:anchor="f2872268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1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hyperlink r:id="rId6" w:anchor="f2872269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2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6" w:name="p2-1-a"/>
      <w:bookmarkEnd w:id="26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 všechny druhy zvěře, pro které byla honitba nebo její část zařazena do jakostních tříd a pro které byly stanoveny minimální a normované stavy zvěře a určeny jakostní třídy honitby nebo jejích částí,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7" w:name="p2-1-b"/>
      <w:bookmarkEnd w:id="27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pro následující druhy, které hodlá lovit: králík divoký, bažant královský, holub hřivnáč, husa běločelá, husa polní, husa velká, kachna divoká, kachna divoká z voliérového chovu, lyska černá,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chocholačka,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polák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velký,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8" w:name="p2-1-c"/>
      <w:bookmarkEnd w:id="28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 všechny druhy zvěře, které hodlá vypouštět do honitby (§ 5 odst. 2 zákona),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29" w:name="p2-1-d"/>
      <w:bookmarkEnd w:id="29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 vzácné a ohrožené druhy zvěře.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0" w:name="p2-2"/>
      <w:bookmarkEnd w:id="30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(2)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společných lovů zvěře je vypracováván pouze pro zajíce polního, bažanta obecného, bažanta královského, husu velkou, husu polní, husu běločelou, kachnu divokou a krocana divokého.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1" w:name="p2-3"/>
      <w:bookmarkEnd w:id="31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Plán je vypracováván pro období hospodářského roku kromě selete a lončáka prasete divokého a krocana divokého, pro které se plán vypracovává od 25. dubna do 24. dubna roku následujícího.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2" w:name="p2-4"/>
      <w:bookmarkEnd w:id="32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(4)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Jednotlivé části plánu se vypracují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3" w:name="p2-4-a"/>
      <w:bookmarkEnd w:id="33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 25. dubna u plánu chovu a lovu pro zvěř spárkatou, plánu péče o zvěř a plánu počtu loveckých psů,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4" w:name="p2-4-b"/>
      <w:bookmarkEnd w:id="34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 25. července u plánu lovu ostatních druhů zvěře a u plánu chovu a lovu pro zvěř drobnou a plánu společných lovů zvěře.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35" w:name="p3"/>
      <w:bookmarkEnd w:id="35"/>
      <w:r w:rsidRPr="00103B3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3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6" w:name="p3-1"/>
      <w:bookmarkEnd w:id="36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Při posuzování celkového stavu ekosystému se vychází z porovnání skutečného a cílového stavu ekosystému. Plán lovu zvěře se v návaznosti na toto posouzení upraví tak, aby se skutečné početní stavy zvěře po provedeném odlovu pohybovaly mezi minimálními a normovanými stavy (§ 3 odst. 2 zákona) blíže té hranici, která má odpovídat cílovému stavu ekosystému. Při splnění § 1 odst. 3 se k výsledkům tohoto porovnání nepřihlédne, pokud nejsou takové údaje uživateli honitby prokazatelně známy</w:t>
      </w:r>
      <w:hyperlink r:id="rId7" w:anchor="f2872270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3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7" w:name="p3-2"/>
      <w:bookmarkEnd w:id="37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Podle výsledku porovnání</w:t>
      </w:r>
      <w:hyperlink r:id="rId8" w:anchor="f2872268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1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kontrolních a srovnávacích ploch se upraví plán lovu zvěře tak, aby se skutečné početní stavy zvěře po provedeném odlovu pohybovaly mezi minimálními a normovanými stavy v takové výši, která bude odpovídat zajištěnému lesnímu porostu</w:t>
      </w:r>
      <w:hyperlink r:id="rId9" w:anchor="f2872271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4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Při splnění § 1 odst. 3 písm. d) se k výsledkům tohoto porovnání nepřihlédne, pokud nejsou takové údaje uživateli honitby prokazatelně známy</w:t>
      </w:r>
      <w:hyperlink r:id="rId10" w:anchor="f2872270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3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8" w:name="p3-3"/>
      <w:bookmarkEnd w:id="38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základě údajů o výši škod způsobených zvěří v uplynulém období na lesních a zemědělských porostech se upraví plán lovu zvěře tak, aby se skutečné početní stavy zvěře po provedeném odlovu pohybovaly mezi minimálními a normovanými stavy v takové výši, která nebude příčinou nepřiměřeného poškozování lesních a zemědělských porostů. Při splnění § 1 odst. 3 písm. c) se k výši škod v uplynulém období na lesních a zemědělských porostech nepřihlédne, pokud není uživateli honitby prokazatelně známo</w:t>
      </w:r>
      <w:hyperlink r:id="rId11" w:anchor="f2872270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3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že v průběhu uplynulého období k takovým škodám došlo.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39" w:name="p3-4"/>
      <w:bookmarkEnd w:id="39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(4)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případě honitby, která je zařazena do oblasti chovu zvěře, se k závěrům a doporučením orgánu státní správy myslivosti, který příslušnou oblast chovu vymezil, přihlédne, pokud jsou uživateli honitby prokazatelně známy</w:t>
      </w:r>
      <w:hyperlink r:id="rId12" w:anchor="f2872270" w:history="1"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vertAlign w:val="superscript"/>
            <w:lang w:eastAsia="cs-CZ"/>
          </w:rPr>
          <w:t>3</w:t>
        </w:r>
        <w:r w:rsidRPr="00103B35">
          <w:rPr>
            <w:rFonts w:ascii="Arial" w:eastAsia="Times New Roman" w:hAnsi="Arial" w:cs="Arial"/>
            <w:b/>
            <w:bCs/>
            <w:color w:val="05507A"/>
            <w:sz w:val="20"/>
            <w:szCs w:val="20"/>
            <w:lang w:eastAsia="cs-CZ"/>
          </w:rPr>
          <w:t>)</w:t>
        </w:r>
      </w:hyperlink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40" w:name="p4"/>
      <w:bookmarkEnd w:id="40"/>
      <w:r w:rsidRPr="00103B3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4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1" w:name="p4-1"/>
      <w:bookmarkEnd w:id="41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Pokud není dále stanoveno jinak, v plánu se uvádějí počty zvěře, mysliveckých zařízení a loveckých psů v kusech, výměry honitby v celých hektarech.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2" w:name="p4-2"/>
      <w:bookmarkEnd w:id="42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 účely vypracování plánů se samci dále uvedených druhů zvěře rozdělují vždy do tří věkových tříd takto: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3" w:name="p4-2-a"/>
      <w:bookmarkEnd w:id="43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jelen evropský (příslušníci rodu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Cervus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jelen ve stáří od 1 roku do 4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 ve stáří od 5 do 8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 ve stáří od 9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4" w:name="p4-2-b"/>
      <w:bookmarkEnd w:id="44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daněk skvrnitý: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daněk ve stáří od 1 roku do 3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daněk ve stáří od 4 do 6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daněk ve stáří od 7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5" w:name="p4-2-c"/>
      <w:bookmarkEnd w:id="45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muflon: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muflon ve stáří od 1 roku do 3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muflon ve stáří od 4 do 6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muflon ve stáří od 7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6" w:name="p4-2-d"/>
      <w:bookmarkEnd w:id="46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srnec obecný: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srnec ve stáří od 10 měsíců do 2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srnec ve stáří od 3 do 4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srnec ve stáří od 5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7" w:name="p4-2-e"/>
      <w:bookmarkEnd w:id="47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kamzík horský: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kamzík ve stáří od 1 roku do 3 let – I. věková třída, 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kamzík ve stáří od 4 do 7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kamzík ve stáří od 8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8" w:name="p4-2-f"/>
      <w:bookmarkEnd w:id="48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jelenec běloocasý: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jelenec ve stáří od 1 roku do 3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jelenec ve stáří od 4 do 6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jelenec ve stáří od 7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49" w:name="p4-2-g"/>
      <w:bookmarkEnd w:id="49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sika </w:t>
      </w:r>
      <w:proofErr w:type="spellStart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Dybowského</w:t>
      </w:r>
      <w:proofErr w:type="spellEnd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jelen ve stáří od 1 roku do 4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 ve stáří od 5 do 8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 ve stáří od 9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0" w:name="p4-2-h"/>
      <w:bookmarkEnd w:id="50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sika japonský: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jelen ve stáří od 1 roku do 4 let – I. věková třída,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 ve stáří od 5 do 8 let – II. věková třída a 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jelen ve stáří od 9 let a více – III. věková třída,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1" w:name="p4-2-i"/>
      <w:bookmarkEnd w:id="51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prase divoké: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kňour ve stáří od 1 do 2 let (lončák) – I. věková třída, 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kňour ve stáří od 3 do 4 let – II. věková třída a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kňour ve stáří od 5 let a více – III. věková třída.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2" w:name="p4-3"/>
      <w:bookmarkEnd w:id="52"/>
      <w:r w:rsidRPr="00103B3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(3)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 rámci schváleného plánu mysliveckého hospodaření se plánuje pro úpravu početních stavů zvěře lov takových jedinců samčího a samičího pohlaví daného druhu zvěře, jejichž odstranění z populace povede k udržování přírodní kvality genofondu zvěře a k cílenému zvyšování chovné kvality zvěře (§ 3 odst. 1 zákona).</w:t>
      </w:r>
    </w:p>
    <w:p w:rsidR="00103B35" w:rsidRPr="00103B35" w:rsidRDefault="005A4E9B" w:rsidP="00103B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3" w:name="zaver"/>
      <w:bookmarkEnd w:id="5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noshade="t" o:hr="t" fillcolor="#e0e0e0" stroked="f"/>
        </w:pic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bookmarkStart w:id="54" w:name="p5"/>
      <w:bookmarkEnd w:id="54"/>
      <w:r w:rsidRPr="00103B3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5</w:t>
      </w:r>
    </w:p>
    <w:p w:rsidR="00103B35" w:rsidRPr="00103B35" w:rsidRDefault="00103B35" w:rsidP="00103B35">
      <w:pPr>
        <w:shd w:val="clear" w:color="auto" w:fill="FFFFFF"/>
        <w:spacing w:before="60" w:after="6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103B35">
        <w:rPr>
          <w:rFonts w:ascii="Arial" w:eastAsia="Times New Roman" w:hAnsi="Arial" w:cs="Arial"/>
          <w:b/>
          <w:bCs/>
          <w:color w:val="08A8F8"/>
          <w:lang w:eastAsia="cs-CZ"/>
        </w:rPr>
        <w:t>Účinnost</w: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55" w:name="p5-1"/>
      <w:bookmarkEnd w:id="55"/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vyhláška nabývá účinnosti dnem 1. ledna 2005.</w:t>
      </w:r>
    </w:p>
    <w:p w:rsidR="00103B35" w:rsidRPr="00103B35" w:rsidRDefault="005A4E9B" w:rsidP="00103B3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.75pt" o:hralign="center" o:hrstd="t" o:hrnoshade="t" o:hr="t" fillcolor="#e0e0e0" stroked="f"/>
        </w:pict>
      </w:r>
    </w:p>
    <w:p w:rsidR="00103B35" w:rsidRPr="00103B35" w:rsidRDefault="00103B35" w:rsidP="00103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Ministr:</w:t>
      </w:r>
      <w:r w:rsidRPr="00103B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Ing. Palas v. r.</w:t>
      </w:r>
    </w:p>
    <w:p w:rsidR="00CA75E9" w:rsidRDefault="005A4E9B"/>
    <w:sectPr w:rsidR="00CA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35"/>
    <w:rsid w:val="00103B35"/>
    <w:rsid w:val="00590184"/>
    <w:rsid w:val="005A4E9B"/>
    <w:rsid w:val="00DB5633"/>
    <w:rsid w:val="00F0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3B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c">
    <w:name w:val="cc"/>
    <w:basedOn w:val="Normln"/>
    <w:rsid w:val="0010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10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10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3B35"/>
    <w:rPr>
      <w:i/>
      <w:iCs/>
    </w:rPr>
  </w:style>
  <w:style w:type="character" w:customStyle="1" w:styleId="apple-converted-space">
    <w:name w:val="apple-converted-space"/>
    <w:basedOn w:val="Standardnpsmoodstavce"/>
    <w:rsid w:val="00103B35"/>
  </w:style>
  <w:style w:type="character" w:styleId="Hypertextovodkaz">
    <w:name w:val="Hyperlink"/>
    <w:basedOn w:val="Standardnpsmoodstavce"/>
    <w:uiPriority w:val="99"/>
    <w:semiHidden/>
    <w:unhideWhenUsed/>
    <w:rsid w:val="00103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3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3B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c">
    <w:name w:val="cc"/>
    <w:basedOn w:val="Normln"/>
    <w:rsid w:val="0010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10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10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3B35"/>
    <w:rPr>
      <w:i/>
      <w:iCs/>
    </w:rPr>
  </w:style>
  <w:style w:type="character" w:customStyle="1" w:styleId="apple-converted-space">
    <w:name w:val="apple-converted-space"/>
    <w:basedOn w:val="Standardnpsmoodstavce"/>
    <w:rsid w:val="00103B35"/>
  </w:style>
  <w:style w:type="character" w:styleId="Hypertextovodkaz">
    <w:name w:val="Hyperlink"/>
    <w:basedOn w:val="Standardnpsmoodstavce"/>
    <w:uiPriority w:val="99"/>
    <w:semiHidden/>
    <w:unhideWhenUsed/>
    <w:rsid w:val="00103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04-5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yprolidi.cz/cs/2004-553" TargetMode="External"/><Relationship Id="rId12" Type="http://schemas.openxmlformats.org/officeDocument/2006/relationships/hyperlink" Target="http://www.zakonyprolidi.cz/cs/2004-5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yprolidi.cz/cs/2004-553" TargetMode="External"/><Relationship Id="rId11" Type="http://schemas.openxmlformats.org/officeDocument/2006/relationships/hyperlink" Target="http://www.zakonyprolidi.cz/cs/2004-553" TargetMode="External"/><Relationship Id="rId5" Type="http://schemas.openxmlformats.org/officeDocument/2006/relationships/hyperlink" Target="http://www.zakonyprolidi.cz/cs/2004-553" TargetMode="External"/><Relationship Id="rId10" Type="http://schemas.openxmlformats.org/officeDocument/2006/relationships/hyperlink" Target="http://www.zakonyprolidi.cz/cs/2004-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04-5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2017-05-04T13:00:00Z</dcterms:created>
  <dcterms:modified xsi:type="dcterms:W3CDTF">2017-05-04T13:00:00Z</dcterms:modified>
</cp:coreProperties>
</file>